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BFBFBF"/>
        <w:tblCellMar>
          <w:left w:w="0" w:type="dxa"/>
          <w:right w:w="0" w:type="dxa"/>
        </w:tblCellMar>
        <w:tblLook w:val="04A0" w:firstRow="1" w:lastRow="0" w:firstColumn="1" w:lastColumn="0" w:noHBand="0" w:noVBand="1"/>
      </w:tblPr>
      <w:tblGrid>
        <w:gridCol w:w="9360"/>
      </w:tblGrid>
      <w:tr w:rsidR="00946623" w14:paraId="506A8F4E" w14:textId="77777777" w:rsidTr="00946623">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360"/>
            </w:tblGrid>
            <w:tr w:rsidR="00946623" w14:paraId="13FCD386" w14:textId="77777777">
              <w:trPr>
                <w:jc w:val="center"/>
              </w:trPr>
              <w:tc>
                <w:tcPr>
                  <w:tcW w:w="0" w:type="auto"/>
                  <w:vAlign w:val="center"/>
                  <w:hideMark/>
                </w:tcPr>
                <w:p w14:paraId="2D5AEB2C" w14:textId="77777777" w:rsidR="00946623" w:rsidRDefault="00946623"/>
              </w:tc>
            </w:tr>
          </w:tbl>
          <w:p w14:paraId="654B7BAB" w14:textId="77777777" w:rsidR="00946623" w:rsidRDefault="00946623">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946623" w14:paraId="08EEEA1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46623" w14:paraId="6A446807" w14:textId="77777777">
                    <w:tc>
                      <w:tcPr>
                        <w:tcW w:w="0" w:type="auto"/>
                        <w:tcMar>
                          <w:top w:w="150" w:type="dxa"/>
                          <w:left w:w="300" w:type="dxa"/>
                          <w:bottom w:w="150" w:type="dxa"/>
                          <w:right w:w="300" w:type="dxa"/>
                        </w:tcMar>
                      </w:tcPr>
                      <w:p w14:paraId="1BD42D9C" w14:textId="77777777" w:rsidR="00946623" w:rsidRDefault="00946623">
                        <w:pPr>
                          <w:rPr>
                            <w:rFonts w:ascii="Arial" w:hAnsi="Arial" w:cs="Arial"/>
                            <w:color w:val="000000"/>
                            <w:sz w:val="24"/>
                            <w:szCs w:val="24"/>
                          </w:rPr>
                        </w:pPr>
                        <w:r>
                          <w:rPr>
                            <w:rFonts w:ascii="Arial" w:hAnsi="Arial" w:cs="Arial"/>
                            <w:b/>
                            <w:bCs/>
                            <w:color w:val="000000"/>
                            <w:sz w:val="27"/>
                            <w:szCs w:val="27"/>
                          </w:rPr>
                          <w:t>Louisiana’s frontline workers can apply for $250 COVID-19 rebates</w:t>
                        </w:r>
                      </w:p>
                      <w:p w14:paraId="35E66F06" w14:textId="77777777" w:rsidR="00946623" w:rsidRDefault="00946623">
                        <w:pPr>
                          <w:rPr>
                            <w:rFonts w:ascii="Arial" w:hAnsi="Arial" w:cs="Arial"/>
                            <w:color w:val="000000"/>
                            <w:sz w:val="24"/>
                            <w:szCs w:val="24"/>
                          </w:rPr>
                        </w:pPr>
                      </w:p>
                      <w:p w14:paraId="643DF93E" w14:textId="77777777" w:rsidR="00946623" w:rsidRDefault="00946623">
                        <w:pPr>
                          <w:rPr>
                            <w:rFonts w:ascii="Arial" w:hAnsi="Arial" w:cs="Arial"/>
                            <w:color w:val="000000"/>
                            <w:sz w:val="24"/>
                            <w:szCs w:val="24"/>
                          </w:rPr>
                        </w:pPr>
                        <w:r>
                          <w:rPr>
                            <w:rFonts w:ascii="Arial" w:hAnsi="Arial" w:cs="Arial"/>
                            <w:color w:val="000000"/>
                            <w:sz w:val="24"/>
                            <w:szCs w:val="24"/>
                          </w:rPr>
                          <w:t xml:space="preserve">Eligible Louisiana residents can apply for $250 rebates related to essential work performed during the COVID-19 public health emergency. </w:t>
                        </w:r>
                        <w:hyperlink r:id="rId5" w:tgtFrame="_blank" w:history="1">
                          <w:r>
                            <w:rPr>
                              <w:rStyle w:val="Hyperlink"/>
                              <w:rFonts w:ascii="Arial" w:hAnsi="Arial" w:cs="Arial"/>
                              <w:sz w:val="24"/>
                              <w:szCs w:val="24"/>
                              <w:u w:val="none"/>
                            </w:rPr>
                            <w:t>Act 12 of the 2020 First Extraordinary Session of the Louisiana Legislature</w:t>
                          </w:r>
                        </w:hyperlink>
                        <w:r>
                          <w:rPr>
                            <w:rFonts w:ascii="Arial" w:hAnsi="Arial" w:cs="Arial"/>
                            <w:color w:val="000000"/>
                            <w:sz w:val="24"/>
                            <w:szCs w:val="24"/>
                          </w:rPr>
                          <w:t xml:space="preserve"> provides for a one-time rebate for eligible workers earning $50,000 per year or less, who spent at least 200 hours responding to or mitigating the COVID-19 crisis from March 22, 2020, through May 14, 2020. </w:t>
                        </w:r>
                      </w:p>
                      <w:p w14:paraId="388FA4FA" w14:textId="77777777" w:rsidR="00946623" w:rsidRDefault="00946623">
                        <w:pPr>
                          <w:rPr>
                            <w:rFonts w:ascii="Arial" w:hAnsi="Arial" w:cs="Arial"/>
                            <w:color w:val="000000"/>
                            <w:sz w:val="24"/>
                            <w:szCs w:val="24"/>
                          </w:rPr>
                        </w:pPr>
                        <w:r>
                          <w:rPr>
                            <w:rFonts w:ascii="Arial" w:hAnsi="Arial" w:cs="Arial"/>
                            <w:color w:val="000000"/>
                            <w:sz w:val="24"/>
                            <w:szCs w:val="24"/>
                          </w:rPr>
                          <w:t> </w:t>
                        </w:r>
                      </w:p>
                      <w:p w14:paraId="79B8E269" w14:textId="77777777" w:rsidR="00946623" w:rsidRDefault="00946623">
                        <w:pPr>
                          <w:rPr>
                            <w:rFonts w:ascii="Arial" w:hAnsi="Arial" w:cs="Arial"/>
                            <w:color w:val="000000"/>
                            <w:sz w:val="24"/>
                            <w:szCs w:val="24"/>
                          </w:rPr>
                        </w:pPr>
                        <w:r>
                          <w:rPr>
                            <w:rFonts w:ascii="Arial" w:hAnsi="Arial" w:cs="Arial"/>
                            <w:color w:val="000000"/>
                            <w:sz w:val="24"/>
                            <w:szCs w:val="24"/>
                          </w:rPr>
                          <w:t>The Louisiana Department of Revenue (LDR) will accept applications from July 15 through Oct. 31 from workers employed in one of the following essential critical infrastructure jobs on or after March 11, 2020:</w:t>
                        </w:r>
                      </w:p>
                      <w:p w14:paraId="44D2BCF2" w14:textId="77777777" w:rsidR="00946623" w:rsidRDefault="00946623">
                        <w:pPr>
                          <w:rPr>
                            <w:rFonts w:ascii="Arial" w:hAnsi="Arial" w:cs="Arial"/>
                            <w:color w:val="000000"/>
                            <w:sz w:val="24"/>
                            <w:szCs w:val="24"/>
                          </w:rPr>
                        </w:pPr>
                      </w:p>
                      <w:p w14:paraId="63A771D8" w14:textId="77777777" w:rsidR="00946623" w:rsidRDefault="00946623" w:rsidP="003C25E2">
                        <w:pPr>
                          <w:numPr>
                            <w:ilvl w:val="0"/>
                            <w:numId w:val="1"/>
                          </w:numPr>
                          <w:ind w:left="600" w:hanging="240"/>
                          <w:rPr>
                            <w:rFonts w:ascii="Arial" w:hAnsi="Arial" w:cs="Arial"/>
                            <w:color w:val="000000"/>
                            <w:sz w:val="24"/>
                            <w:szCs w:val="24"/>
                          </w:rPr>
                        </w:pPr>
                        <w:r>
                          <w:rPr>
                            <w:rFonts w:ascii="Arial" w:hAnsi="Arial" w:cs="Arial"/>
                            <w:b/>
                            <w:bCs/>
                            <w:color w:val="000000"/>
                            <w:sz w:val="24"/>
                            <w:szCs w:val="24"/>
                          </w:rPr>
                          <w:t>Long-term care facility personnel, outpatient care workers, home care workers, personal assistance providers, home health providers, home delivered meal providers, childcare service providers</w:t>
                        </w:r>
                      </w:p>
                      <w:p w14:paraId="29C754D2" w14:textId="77777777" w:rsidR="00946623" w:rsidRDefault="00946623">
                        <w:pPr>
                          <w:rPr>
                            <w:rFonts w:ascii="Arial" w:hAnsi="Arial" w:cs="Arial"/>
                            <w:color w:val="000000"/>
                            <w:sz w:val="24"/>
                            <w:szCs w:val="24"/>
                          </w:rPr>
                        </w:pPr>
                      </w:p>
                      <w:p w14:paraId="5F0DBE99" w14:textId="77777777" w:rsidR="00946623" w:rsidRDefault="00946623" w:rsidP="003C25E2">
                        <w:pPr>
                          <w:numPr>
                            <w:ilvl w:val="0"/>
                            <w:numId w:val="2"/>
                          </w:numPr>
                          <w:ind w:left="600" w:hanging="240"/>
                          <w:rPr>
                            <w:rFonts w:ascii="Arial" w:hAnsi="Arial" w:cs="Arial"/>
                            <w:color w:val="000000"/>
                            <w:sz w:val="24"/>
                            <w:szCs w:val="24"/>
                          </w:rPr>
                        </w:pPr>
                        <w:r>
                          <w:rPr>
                            <w:rFonts w:ascii="Arial" w:hAnsi="Arial" w:cs="Arial"/>
                            <w:color w:val="000000"/>
                            <w:sz w:val="24"/>
                            <w:szCs w:val="24"/>
                          </w:rPr>
                          <w:t>Nurses, assistants, aides, medical residents, pharmacy staff, phlebotomists, respiratory therapists, and workers providing direct patient care in inpatient and outpatient dialysis facilities</w:t>
                        </w:r>
                      </w:p>
                      <w:p w14:paraId="2D55EA45" w14:textId="77777777" w:rsidR="00946623" w:rsidRDefault="00946623">
                        <w:pPr>
                          <w:rPr>
                            <w:rFonts w:ascii="Arial" w:hAnsi="Arial" w:cs="Arial"/>
                            <w:color w:val="000000"/>
                            <w:sz w:val="24"/>
                            <w:szCs w:val="24"/>
                          </w:rPr>
                        </w:pPr>
                      </w:p>
                      <w:p w14:paraId="5409281D" w14:textId="77777777" w:rsidR="00946623" w:rsidRDefault="00946623" w:rsidP="003C25E2">
                        <w:pPr>
                          <w:numPr>
                            <w:ilvl w:val="0"/>
                            <w:numId w:val="3"/>
                          </w:numPr>
                          <w:ind w:left="600" w:hanging="240"/>
                          <w:rPr>
                            <w:rFonts w:ascii="Arial" w:hAnsi="Arial" w:cs="Arial"/>
                            <w:color w:val="000000"/>
                            <w:sz w:val="24"/>
                            <w:szCs w:val="24"/>
                          </w:rPr>
                        </w:pPr>
                        <w:r>
                          <w:rPr>
                            <w:rFonts w:ascii="Arial" w:hAnsi="Arial" w:cs="Arial"/>
                            <w:color w:val="000000"/>
                            <w:sz w:val="24"/>
                            <w:szCs w:val="24"/>
                          </w:rPr>
                          <w:t>Housekeeping, laundry services, food services, and waste management personnel in hospitals and healthcare facilities</w:t>
                        </w:r>
                      </w:p>
                      <w:p w14:paraId="7E54D293" w14:textId="77777777" w:rsidR="00946623" w:rsidRDefault="00946623">
                        <w:pPr>
                          <w:rPr>
                            <w:rFonts w:ascii="Arial" w:hAnsi="Arial" w:cs="Arial"/>
                            <w:color w:val="000000"/>
                            <w:sz w:val="24"/>
                            <w:szCs w:val="24"/>
                          </w:rPr>
                        </w:pPr>
                      </w:p>
                      <w:p w14:paraId="171F3CC7" w14:textId="77777777" w:rsidR="00946623" w:rsidRDefault="00946623" w:rsidP="003C25E2">
                        <w:pPr>
                          <w:numPr>
                            <w:ilvl w:val="0"/>
                            <w:numId w:val="4"/>
                          </w:numPr>
                          <w:ind w:left="600" w:hanging="240"/>
                          <w:rPr>
                            <w:rFonts w:ascii="Arial" w:hAnsi="Arial" w:cs="Arial"/>
                            <w:color w:val="000000"/>
                            <w:sz w:val="24"/>
                            <w:szCs w:val="24"/>
                          </w:rPr>
                        </w:pPr>
                        <w:r>
                          <w:rPr>
                            <w:rFonts w:ascii="Arial" w:hAnsi="Arial" w:cs="Arial"/>
                            <w:color w:val="000000"/>
                            <w:sz w:val="24"/>
                            <w:szCs w:val="24"/>
                          </w:rPr>
                          <w:t>Emergency medical services (EMS) personnel, fire and rescue personnel, law enforcement personnel, public health epidemiologists</w:t>
                        </w:r>
                      </w:p>
                      <w:p w14:paraId="246B5D03" w14:textId="77777777" w:rsidR="00946623" w:rsidRDefault="00946623">
                        <w:pPr>
                          <w:rPr>
                            <w:rFonts w:ascii="Arial" w:hAnsi="Arial" w:cs="Arial"/>
                            <w:color w:val="000000"/>
                            <w:sz w:val="24"/>
                            <w:szCs w:val="24"/>
                          </w:rPr>
                        </w:pPr>
                      </w:p>
                      <w:p w14:paraId="45DBF0D7" w14:textId="77777777" w:rsidR="00946623" w:rsidRDefault="00946623" w:rsidP="003C25E2">
                        <w:pPr>
                          <w:numPr>
                            <w:ilvl w:val="0"/>
                            <w:numId w:val="5"/>
                          </w:numPr>
                          <w:ind w:left="600" w:hanging="240"/>
                          <w:rPr>
                            <w:rFonts w:ascii="Arial" w:hAnsi="Arial" w:cs="Arial"/>
                            <w:color w:val="000000"/>
                            <w:sz w:val="24"/>
                            <w:szCs w:val="24"/>
                          </w:rPr>
                        </w:pPr>
                        <w:r>
                          <w:rPr>
                            <w:rFonts w:ascii="Arial" w:hAnsi="Arial" w:cs="Arial"/>
                            <w:color w:val="000000"/>
                            <w:sz w:val="24"/>
                            <w:szCs w:val="24"/>
                          </w:rPr>
                          <w:t>Bus drivers; retail fuel center personnel; sanitation personnel; residential, commercial, and industrial solid waste and hazardous waste removal personnel; storage and disposal personnel</w:t>
                        </w:r>
                      </w:p>
                      <w:p w14:paraId="21B33D27" w14:textId="77777777" w:rsidR="00946623" w:rsidRDefault="00946623">
                        <w:pPr>
                          <w:rPr>
                            <w:rFonts w:ascii="Arial" w:hAnsi="Arial" w:cs="Arial"/>
                            <w:color w:val="000000"/>
                            <w:sz w:val="24"/>
                            <w:szCs w:val="24"/>
                          </w:rPr>
                        </w:pPr>
                      </w:p>
                      <w:p w14:paraId="743DBADC" w14:textId="77777777" w:rsidR="00946623" w:rsidRDefault="00946623" w:rsidP="003C25E2">
                        <w:pPr>
                          <w:numPr>
                            <w:ilvl w:val="0"/>
                            <w:numId w:val="6"/>
                          </w:numPr>
                          <w:ind w:left="600" w:hanging="240"/>
                          <w:rPr>
                            <w:rFonts w:ascii="Arial" w:hAnsi="Arial" w:cs="Arial"/>
                            <w:color w:val="000000"/>
                            <w:sz w:val="24"/>
                            <w:szCs w:val="24"/>
                          </w:rPr>
                        </w:pPr>
                        <w:r>
                          <w:rPr>
                            <w:rFonts w:ascii="Arial" w:hAnsi="Arial" w:cs="Arial"/>
                            <w:color w:val="000000"/>
                            <w:sz w:val="24"/>
                            <w:szCs w:val="24"/>
                          </w:rPr>
                          <w:t>Grocery store, convenience store, and food assistance program personnel</w:t>
                        </w:r>
                      </w:p>
                      <w:p w14:paraId="7F3684E0" w14:textId="77777777" w:rsidR="00946623" w:rsidRDefault="00946623">
                        <w:pPr>
                          <w:rPr>
                            <w:rFonts w:ascii="Arial" w:hAnsi="Arial" w:cs="Arial"/>
                            <w:color w:val="000000"/>
                            <w:sz w:val="24"/>
                            <w:szCs w:val="24"/>
                          </w:rPr>
                        </w:pPr>
                      </w:p>
                      <w:p w14:paraId="6994886C" w14:textId="77777777" w:rsidR="00946623" w:rsidRDefault="00946623" w:rsidP="003C25E2">
                        <w:pPr>
                          <w:numPr>
                            <w:ilvl w:val="0"/>
                            <w:numId w:val="7"/>
                          </w:numPr>
                          <w:ind w:left="600" w:hanging="240"/>
                          <w:rPr>
                            <w:rFonts w:ascii="Arial" w:hAnsi="Arial" w:cs="Arial"/>
                            <w:color w:val="000000"/>
                            <w:sz w:val="24"/>
                            <w:szCs w:val="24"/>
                          </w:rPr>
                        </w:pPr>
                        <w:r>
                          <w:rPr>
                            <w:rFonts w:ascii="Arial" w:hAnsi="Arial" w:cs="Arial"/>
                            <w:color w:val="000000"/>
                            <w:sz w:val="24"/>
                            <w:szCs w:val="24"/>
                          </w:rPr>
                          <w:t>Mortuary service providers</w:t>
                        </w:r>
                      </w:p>
                      <w:p w14:paraId="02428B9A" w14:textId="77777777" w:rsidR="00946623" w:rsidRDefault="00946623">
                        <w:pPr>
                          <w:rPr>
                            <w:rFonts w:ascii="Arial" w:hAnsi="Arial" w:cs="Arial"/>
                            <w:color w:val="000000"/>
                            <w:sz w:val="24"/>
                            <w:szCs w:val="24"/>
                          </w:rPr>
                        </w:pPr>
                      </w:p>
                      <w:p w14:paraId="4DF249CB" w14:textId="77777777" w:rsidR="00946623" w:rsidRDefault="00946623" w:rsidP="003C25E2">
                        <w:pPr>
                          <w:numPr>
                            <w:ilvl w:val="0"/>
                            <w:numId w:val="8"/>
                          </w:numPr>
                          <w:ind w:left="600" w:hanging="240"/>
                          <w:rPr>
                            <w:rFonts w:ascii="Arial" w:hAnsi="Arial" w:cs="Arial"/>
                            <w:color w:val="000000"/>
                            <w:sz w:val="24"/>
                            <w:szCs w:val="24"/>
                          </w:rPr>
                        </w:pPr>
                        <w:r>
                          <w:rPr>
                            <w:rFonts w:ascii="Arial" w:hAnsi="Arial" w:cs="Arial"/>
                            <w:color w:val="000000"/>
                            <w:sz w:val="24"/>
                            <w:szCs w:val="24"/>
                          </w:rPr>
                          <w:t>Veterinary service staff</w:t>
                        </w:r>
                      </w:p>
                      <w:p w14:paraId="6305C916" w14:textId="77777777" w:rsidR="00946623" w:rsidRDefault="00946623">
                        <w:pPr>
                          <w:rPr>
                            <w:rFonts w:ascii="Arial" w:hAnsi="Arial" w:cs="Arial"/>
                            <w:color w:val="000000"/>
                            <w:sz w:val="24"/>
                            <w:szCs w:val="24"/>
                          </w:rPr>
                        </w:pPr>
                        <w:r>
                          <w:rPr>
                            <w:rFonts w:ascii="Arial" w:hAnsi="Arial" w:cs="Arial"/>
                            <w:color w:val="000000"/>
                            <w:sz w:val="24"/>
                            <w:szCs w:val="24"/>
                          </w:rPr>
                          <w:t> </w:t>
                        </w:r>
                      </w:p>
                      <w:p w14:paraId="700047C0" w14:textId="77777777" w:rsidR="00946623" w:rsidRDefault="00946623">
                        <w:pPr>
                          <w:rPr>
                            <w:rFonts w:ascii="Arial" w:hAnsi="Arial" w:cs="Arial"/>
                            <w:color w:val="000000"/>
                            <w:sz w:val="24"/>
                            <w:szCs w:val="24"/>
                          </w:rPr>
                        </w:pPr>
                        <w:r>
                          <w:rPr>
                            <w:rFonts w:ascii="Arial" w:hAnsi="Arial" w:cs="Arial"/>
                            <w:color w:val="000000"/>
                            <w:sz w:val="24"/>
                            <w:szCs w:val="24"/>
                          </w:rPr>
                          <w:t xml:space="preserve">LDR will accept applications online or on a downloadable printed form. </w:t>
                        </w:r>
                        <w:r>
                          <w:rPr>
                            <w:rFonts w:ascii="Arial" w:hAnsi="Arial" w:cs="Arial"/>
                            <w:b/>
                            <w:bCs/>
                            <w:color w:val="000000"/>
                            <w:sz w:val="24"/>
                            <w:szCs w:val="24"/>
                          </w:rPr>
                          <w:t xml:space="preserve">However, due to limited funding for the rebate program, eligible workers are encouraged to apply as soon as possible </w:t>
                        </w:r>
                        <w:r>
                          <w:rPr>
                            <w:rFonts w:ascii="Arial" w:hAnsi="Arial" w:cs="Arial"/>
                            <w:color w:val="000000"/>
                            <w:sz w:val="24"/>
                            <w:szCs w:val="24"/>
                          </w:rPr>
                          <w:t xml:space="preserve">using the online application portal at </w:t>
                        </w:r>
                        <w:hyperlink r:id="rId6" w:tgtFrame="_blank" w:history="1">
                          <w:r>
                            <w:rPr>
                              <w:rStyle w:val="Hyperlink"/>
                              <w:rFonts w:ascii="Arial" w:hAnsi="Arial" w:cs="Arial"/>
                              <w:sz w:val="24"/>
                              <w:szCs w:val="24"/>
                              <w:u w:val="none"/>
                            </w:rPr>
                            <w:t>FrontlineWorkers.la.gov</w:t>
                          </w:r>
                        </w:hyperlink>
                        <w:r>
                          <w:rPr>
                            <w:rFonts w:ascii="Arial" w:hAnsi="Arial" w:cs="Arial"/>
                            <w:color w:val="000000"/>
                            <w:sz w:val="24"/>
                            <w:szCs w:val="24"/>
                          </w:rPr>
                          <w:t xml:space="preserve"> beginning Wednesday, July 15. </w:t>
                        </w:r>
                      </w:p>
                      <w:p w14:paraId="55CD8D21" w14:textId="77777777" w:rsidR="00946623" w:rsidRDefault="00946623">
                        <w:pPr>
                          <w:rPr>
                            <w:rFonts w:ascii="Arial" w:hAnsi="Arial" w:cs="Arial"/>
                            <w:color w:val="000000"/>
                            <w:sz w:val="24"/>
                            <w:szCs w:val="24"/>
                          </w:rPr>
                        </w:pPr>
                        <w:r>
                          <w:rPr>
                            <w:rFonts w:ascii="Arial" w:hAnsi="Arial" w:cs="Arial"/>
                            <w:color w:val="000000"/>
                            <w:sz w:val="24"/>
                            <w:szCs w:val="24"/>
                          </w:rPr>
                          <w:t> </w:t>
                        </w:r>
                      </w:p>
                      <w:p w14:paraId="49AC18E8" w14:textId="77777777" w:rsidR="00946623" w:rsidRDefault="00946623">
                        <w:pPr>
                          <w:rPr>
                            <w:rFonts w:ascii="Arial" w:hAnsi="Arial" w:cs="Arial"/>
                            <w:color w:val="000000"/>
                            <w:sz w:val="24"/>
                            <w:szCs w:val="24"/>
                          </w:rPr>
                        </w:pPr>
                        <w:r>
                          <w:rPr>
                            <w:rFonts w:ascii="Arial" w:hAnsi="Arial" w:cs="Arial"/>
                            <w:color w:val="000000"/>
                            <w:sz w:val="24"/>
                            <w:szCs w:val="24"/>
                          </w:rPr>
                          <w:t xml:space="preserve">Read </w:t>
                        </w:r>
                        <w:hyperlink r:id="rId7" w:tgtFrame="_blank" w:history="1">
                          <w:r>
                            <w:rPr>
                              <w:rStyle w:val="Hyperlink"/>
                              <w:rFonts w:ascii="Arial" w:hAnsi="Arial" w:cs="Arial"/>
                              <w:sz w:val="24"/>
                              <w:szCs w:val="24"/>
                              <w:u w:val="none"/>
                            </w:rPr>
                            <w:t>Revenue Information Bulletin 20-020</w:t>
                          </w:r>
                        </w:hyperlink>
                        <w:r>
                          <w:rPr>
                            <w:rFonts w:ascii="Arial" w:hAnsi="Arial" w:cs="Arial"/>
                            <w:color w:val="000000"/>
                            <w:sz w:val="24"/>
                            <w:szCs w:val="24"/>
                          </w:rPr>
                          <w:t xml:space="preserve"> for more information.</w:t>
                        </w:r>
                      </w:p>
                    </w:tc>
                  </w:tr>
                </w:tbl>
                <w:p w14:paraId="5D57B606" w14:textId="77777777" w:rsidR="00946623" w:rsidRDefault="00946623">
                  <w:pPr>
                    <w:rPr>
                      <w:rFonts w:ascii="Times New Roman" w:eastAsia="Times New Roman" w:hAnsi="Times New Roman" w:cs="Times New Roman"/>
                      <w:sz w:val="20"/>
                      <w:szCs w:val="20"/>
                    </w:rPr>
                  </w:pPr>
                </w:p>
              </w:tc>
            </w:tr>
          </w:tbl>
          <w:p w14:paraId="509702AB" w14:textId="77777777" w:rsidR="00946623" w:rsidRDefault="00946623">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946623" w14:paraId="42413F9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46623" w14:paraId="6D68EA57" w14:textId="77777777">
                    <w:tc>
                      <w:tcPr>
                        <w:tcW w:w="0" w:type="auto"/>
                        <w:tcMar>
                          <w:top w:w="150" w:type="dxa"/>
                          <w:left w:w="0" w:type="dxa"/>
                          <w:bottom w:w="150" w:type="dxa"/>
                          <w:right w:w="0" w:type="dxa"/>
                        </w:tcMar>
                        <w:hideMark/>
                      </w:tcPr>
                      <w:p w14:paraId="4C4E2832" w14:textId="08B046EE" w:rsidR="00946623" w:rsidRDefault="00946623">
                        <w:pPr>
                          <w:jc w:val="center"/>
                        </w:pPr>
                        <w:r>
                          <w:rPr>
                            <w:noProof/>
                          </w:rPr>
                          <w:drawing>
                            <wp:inline distT="0" distB="0" distL="0" distR="0" wp14:anchorId="1F236EB5" wp14:editId="23D3A010">
                              <wp:extent cx="532765" cy="5403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inline>
                          </w:drawing>
                        </w:r>
                      </w:p>
                    </w:tc>
                  </w:tr>
                </w:tbl>
                <w:p w14:paraId="6CF30630" w14:textId="77777777" w:rsidR="00946623" w:rsidRDefault="00946623">
                  <w:pPr>
                    <w:rPr>
                      <w:rFonts w:ascii="Times New Roman" w:eastAsia="Times New Roman" w:hAnsi="Times New Roman" w:cs="Times New Roman"/>
                      <w:sz w:val="20"/>
                      <w:szCs w:val="20"/>
                    </w:rPr>
                  </w:pPr>
                </w:p>
              </w:tc>
            </w:tr>
          </w:tbl>
          <w:p w14:paraId="5C309FAD" w14:textId="77777777" w:rsidR="00946623" w:rsidRDefault="00946623">
            <w:pPr>
              <w:jc w:val="center"/>
              <w:rPr>
                <w:rFonts w:eastAsia="Times New Roman"/>
              </w:rPr>
            </w:pPr>
          </w:p>
        </w:tc>
      </w:tr>
    </w:tbl>
    <w:p w14:paraId="63B83D54" w14:textId="77777777" w:rsidR="00920CF0" w:rsidRDefault="00920CF0"/>
    <w:sectPr w:rsidR="00920CF0" w:rsidSect="0094662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4E0"/>
    <w:multiLevelType w:val="multilevel"/>
    <w:tmpl w:val="BB5EB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321F6"/>
    <w:multiLevelType w:val="multilevel"/>
    <w:tmpl w:val="00DEA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8787F"/>
    <w:multiLevelType w:val="multilevel"/>
    <w:tmpl w:val="ED9E5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9493A"/>
    <w:multiLevelType w:val="multilevel"/>
    <w:tmpl w:val="0E3C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03853"/>
    <w:multiLevelType w:val="multilevel"/>
    <w:tmpl w:val="ECE6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6F256E"/>
    <w:multiLevelType w:val="multilevel"/>
    <w:tmpl w:val="4B682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E37AB"/>
    <w:multiLevelType w:val="multilevel"/>
    <w:tmpl w:val="B2CCD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526EE"/>
    <w:multiLevelType w:val="multilevel"/>
    <w:tmpl w:val="411C3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23"/>
    <w:rsid w:val="00920CF0"/>
    <w:rsid w:val="0094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0CE5"/>
  <w15:chartTrackingRefBased/>
  <w15:docId w15:val="{554A4472-F29C-49A8-A808-598DA8F7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5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20.rs6.net/tn.jsp?f=00190PUt46UMkhcMqSY5SvZi6f4oILhEaVhkoJei9OwxhZUgkraVN11RTKrdKu6GFz2g97pR7-smseQrO7ckX8OC3sSQVkiUi8zhiRAiQ_z4wqawBEkzfzpVUzvRScmQg6CoCSC39SVHHjDO_DCJdXIVxWZ0iLp69nJeHNBxbL6-8T5vMjOCHHOZLhj6f7Krh38mS8LPl14BmsBp0qbTi46yAg9oOn1sGrIrbkpOC1IsXw53uuIT6XujHABD578l6I7yunOhywPeUXXqQp8alF138x7fAsNm7UD&amp;c=P0tc6UzWeKyVmDwYOvaSlFKE_ow_NNjHRf3XHecStzRBZFgDSBIrLA==&amp;ch=WckvIgspZeMAyVxQhcOXh48TW8B97oZPndMjDkoCDuT6AUSj6mjw6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90PUt46UMkhcMqSY5SvZi6f4oILhEaVhkoJei9OwxhZUgkraVN11RTKrdKu6GFz2VlU8oo-_pSg5lDjhFfPD1Bdl8OXAQWY0DObW4lrZ3UQ_mWm3HDu5M5hWQnfWUJO4pn0ladIuiSUsnIQOXkF8g_5y3QQvhpnt&amp;c=P0tc6UzWeKyVmDwYOvaSlFKE_ow_NNjHRf3XHecStzRBZFgDSBIrLA==&amp;ch=WckvIgspZeMAyVxQhcOXh48TW8B97oZPndMjDkoCDuT6AUSj6mjw6w==" TargetMode="External"/><Relationship Id="rId5" Type="http://schemas.openxmlformats.org/officeDocument/2006/relationships/hyperlink" Target="http://r20.rs6.net/tn.jsp?f=00190PUt46UMkhcMqSY5SvZi6f4oILhEaVhkoJei9OwxhZUgkraVN11RTKrdKu6GFz2iuxWuhMii7KK7j7hvp3Fmp9w7wCor1B6uDFdx4WCp-dWHai0H9waKc2tZKb47pF2GGJpBsHrHxOkPhUwt1EYOyQ8nBXdur-ESo5BZSRH36rbrvsHDCxVuXnQaUqL4gPN6-2AmQVXXIBTtWN-HOyyUg==&amp;c=P0tc6UzWeKyVmDwYOvaSlFKE_ow_NNjHRf3XHecStzRBZFgDSBIrLA==&amp;ch=WckvIgspZeMAyVxQhcOXh48TW8B97oZPndMjDkoCDuT6AUSj6mjw6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Perry</dc:creator>
  <cp:keywords/>
  <dc:description/>
  <cp:lastModifiedBy>Brandie Perry</cp:lastModifiedBy>
  <cp:revision>1</cp:revision>
  <dcterms:created xsi:type="dcterms:W3CDTF">2020-07-15T20:46:00Z</dcterms:created>
  <dcterms:modified xsi:type="dcterms:W3CDTF">2020-07-15T20:47:00Z</dcterms:modified>
</cp:coreProperties>
</file>